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38.png" ContentType="image/png"/>
  <Override PartName="/word/media/rId31.png" ContentType="image/png"/>
  <Override PartName="/word/media/rId21.png" ContentType="image/png"/>
  <Override PartName="/word/media/rId42.png" ContentType="image/png"/>
  <Override PartName="/word/media/rId28.png" ContentType="image/png"/>
  <Override PartName="/word/media/rId22.png" ContentType="image/png"/>
  <Override PartName="/word/media/rId26.png" ContentType="image/png"/>
  <Override PartName="/word/media/rId37.png" ContentType="image/png"/>
  <Override PartName="/word/media/rId36.png" ContentType="image/png"/>
  <Override PartName="/word/media/rId24.png" ContentType="image/png"/>
  <Override PartName="/word/media/rId43.gif" ContentType="image/gif"/>
  <Override PartName="/word/media/rId20.png" ContentType="image/png"/>
  <Override PartName="/word/media/rId27.png" ContentType="image/png"/>
  <Override PartName="/word/media/rId32.png" ContentType="image/png"/>
  <Override PartName="/word/media/rId41.png" ContentType="image/png"/>
  <Override PartName="/word/media/rId33.png" ContentType="image/png"/>
  <Override PartName="/word/media/rId40.png" ContentType="image/png"/>
  <Override PartName="/word/media/rId39.png" ContentType="image/png"/>
  <Override PartName="/word/media/rId35.png" ContentType="image/png"/>
  <Override PartName="/word/media/rId34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7" w:name="veos系统"/>
    <w:p>
      <w:pPr>
        <w:pStyle w:val="Heading1"/>
      </w:pPr>
      <w:r>
        <w:t xml:space="preserve">VEOS系统</w:t>
      </w:r>
    </w:p>
    <w:bookmarkStart w:id="45" w:name="测试条件"/>
    <w:p>
      <w:pPr>
        <w:pStyle w:val="Heading2"/>
      </w:pPr>
      <w:r>
        <w:t xml:space="preserve">测试条件</w:t>
      </w:r>
    </w:p>
    <w:p>
      <w:pPr>
        <w:pStyle w:val="FirstParagraph"/>
      </w:pPr>
      <w:r>
        <w:t xml:space="preserve">-固定测试场景</w:t>
      </w:r>
    </w:p>
    <w:p>
      <w:pPr>
        <w:pStyle w:val="BodyText"/>
      </w:pPr>
      <w:r>
        <w:t xml:space="preserve">-固定工况</w:t>
      </w:r>
    </w:p>
    <w:p>
      <w:pPr>
        <w:pStyle w:val="BodyText"/>
      </w:pPr>
      <w:r>
        <w:t xml:space="preserve">-不开空调(减少空调能耗干扰)</w:t>
      </w:r>
    </w:p>
    <w:p>
      <w:pPr>
        <w:pStyle w:val="BodyText"/>
      </w:pPr>
      <w:r>
        <w:t xml:space="preserve">-往返路线(减少地形差异干扰)</w:t>
      </w:r>
    </w:p>
    <w:p>
      <w:pPr>
        <w:pStyle w:val="BodyText"/>
      </w:pPr>
      <w:r>
        <w:t xml:space="preserve">-观测噪声: 地形,压缩机,电池SOC,(大灯,tbox,…)</w:t>
      </w:r>
    </w:p>
    <w:p>
      <w:pPr>
        <w:pStyle w:val="BodyText"/>
      </w:pPr>
      <w:r>
        <w:t xml:space="preserve">-测量驾驶风格:纵向控制问题中,特定工况下油门踏板(和刹车踏板)的使用情况</w:t>
      </w:r>
    </w:p>
    <w:p>
      <w:pPr>
        <w:pStyle w:val="BodyText"/>
      </w:pPr>
      <w:r>
        <w:t xml:space="preserve">-通过独立的UDP数据记录交叉验证测量和性能</w:t>
      </w:r>
    </w:p>
    <w:p>
      <w:pPr>
        <w:pStyle w:val="BodyText"/>
      </w:pPr>
      <w:r>
        <w:t xml:space="preserve">-总共实验1400次</w:t>
      </w:r>
    </w:p>
    <w:bookmarkStart w:id="25" w:name="驾驶风格"/>
    <w:p>
      <w:pPr>
        <w:pStyle w:val="Heading3"/>
      </w:pPr>
      <w:r>
        <w:t xml:space="preserve">驾驶风格</w:t>
      </w:r>
    </w:p>
    <w:p>
      <w:pPr>
        <w:numPr>
          <w:ilvl w:val="0"/>
          <w:numId w:val="1001"/>
        </w:numPr>
        <w:pStyle w:val="Compact"/>
      </w:pPr>
      <w:r>
        <w:t xml:space="preserve">无AI和带AI的基准驾驶风格比较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no-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Driving Style with AI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 </w:t>
            </w:r>
            <w:r>
              <w:t xml:space="preserve">图1.1 无AI的基准风格分布</w:t>
            </w:r>
          </w:p>
        </w:tc>
        <w:tc>
          <w:p>
            <w:pPr>
              <w:pStyle w:val="Compact"/>
              <w:jc w:val="center"/>
            </w:pPr>
            <w:r>
              <w:t xml:space="preserve">图1.2 带AI的基准风格总平均分布</w:t>
            </w:r>
          </w:p>
        </w:tc>
      </w:tr>
    </w:tbl>
    <w:p>
      <w:pPr>
        <w:numPr>
          <w:ilvl w:val="0"/>
          <w:numId w:val="1002"/>
        </w:numPr>
        <w:pStyle w:val="Compact"/>
      </w:pPr>
      <w:r>
        <w:t xml:space="preserve">驾驶风格按周期变化: 驾驶风格相对同一个司机是固定的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28575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riving-filted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图2 驾驶风格变化按KL散度评估, 风格相对固定</w:t>
            </w:r>
          </w:p>
        </w:tc>
      </w:tr>
    </w:tbl>
    <w:p>
      <w:pPr>
        <w:numPr>
          <w:ilvl w:val="0"/>
          <w:numId w:val="1003"/>
        </w:numPr>
        <w:pStyle w:val="Compact"/>
      </w:pPr>
      <w:r>
        <w:t xml:space="preserve">驾驶风格有AI和无AI比较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图3.1 驾驶风格有AI和无AI比较,后面打开coastdown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图3.2 另一位驾驶员有AI与无AI比较</w:t>
            </w:r>
          </w:p>
        </w:tc>
      </w:tr>
    </w:tbl>
    <w:p>
      <w:pPr>
        <w:numPr>
          <w:ilvl w:val="0"/>
          <w:numId w:val="1004"/>
        </w:numPr>
        <w:pStyle w:val="Compact"/>
      </w:pPr>
      <w:r>
        <w:t xml:space="preserve">不同驾驶风格与SAC下驾驶风格总体比较: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/>
        </w:tc>
        <w:tc>
          <w:p>
            <w:pPr>
              <w:pStyle w:val="Compact"/>
              <w:jc w:val="center"/>
            </w:pPr>
            <w:r>
              <w:t xml:space="preserve">SAC</w:t>
            </w:r>
          </w:p>
        </w:tc>
        <w:tc>
          <w:p>
            <w:pPr>
              <w:pStyle w:val="Compact"/>
              <w:jc w:val="center"/>
            </w:pPr>
            <w:r>
              <w:t xml:space="preserve">DDPG-CD</w:t>
            </w:r>
          </w:p>
        </w:tc>
        <w:tc>
          <w:p>
            <w:pPr>
              <w:pStyle w:val="Compact"/>
              <w:jc w:val="center"/>
            </w:pPr>
            <w:r>
              <w:t xml:space="preserve">SAC-CD</w:t>
            </w:r>
          </w:p>
        </w:tc>
        <w:tc>
          <w:p>
            <w:pPr>
              <w:pStyle w:val="Compact"/>
              <w:jc w:val="center"/>
            </w:pPr>
            <w:r>
              <w:t xml:space="preserve">Gonghao-no CD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KL-D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w:r>
              <w:t xml:space="preserve">0.234</w:t>
            </w:r>
          </w:p>
        </w:tc>
        <w:tc>
          <w:p>
            <w:pPr>
              <w:pStyle w:val="Compact"/>
              <w:jc w:val="center"/>
            </w:pPr>
            <w:r>
              <w:t xml:space="preserve">0.311</w:t>
            </w:r>
          </w:p>
        </w:tc>
        <w:tc>
          <w:p>
            <w:pPr>
              <w:pStyle w:val="Compact"/>
              <w:jc w:val="center"/>
            </w:pPr>
            <w:r>
              <w:t xml:space="preserve">0.334</w:t>
            </w:r>
          </w:p>
        </w:tc>
      </w:tr>
    </w:tbl>
    <w:bookmarkEnd w:id="25"/>
    <w:bookmarkStart w:id="29" w:name="能耗"/>
    <w:p>
      <w:pPr>
        <w:pStyle w:val="Heading3"/>
      </w:pPr>
      <w:r>
        <w:t xml:space="preserve">能耗</w:t>
      </w:r>
    </w:p>
    <w:p>
      <w:pPr>
        <w:numPr>
          <w:ilvl w:val="0"/>
          <w:numId w:val="1005"/>
        </w:numPr>
        <w:pStyle w:val="Compact"/>
      </w:pPr>
      <w:r>
        <w:t xml:space="preserve">电动力默认Pedal Map (PM) vs 自建 Pedal Map</w:t>
      </w:r>
    </w:p>
    <w:p>
      <w:pPr>
        <w:numPr>
          <w:ilvl w:val="1"/>
          <w:numId w:val="1006"/>
        </w:numPr>
        <w:pStyle w:val="Compact"/>
      </w:pPr>
      <w:r>
        <w:t xml:space="preserve">默认PM:高速时请求力矩会降低</w:t>
      </w:r>
    </w:p>
    <w:p>
      <w:pPr>
        <w:numPr>
          <w:ilvl w:val="1"/>
          <w:numId w:val="1006"/>
        </w:numPr>
        <w:pStyle w:val="Compact"/>
      </w:pPr>
      <w:r>
        <w:t xml:space="preserve">自建PM:分段线性,请求力矩分段线性单调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802806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ep-default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02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835824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elf-made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35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图4.1 EP默认PM</w:t>
            </w:r>
          </w:p>
        </w:tc>
        <w:tc>
          <w:p>
            <w:pPr>
              <w:pStyle w:val="Compact"/>
              <w:jc w:val="center"/>
            </w:pPr>
            <w:r>
              <w:t xml:space="preserve">图4.2 自建PM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4000499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efaultSelfmade_Comp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图5 EP默认PM与自建PM能耗比较,</w:t>
            </w:r>
            <w:r>
              <w:t xml:space="preserve"> </w:t>
            </w:r>
          </w:p>
        </w:tc>
      </w:tr>
    </w:tbl>
    <w:p>
      <w:pPr>
        <w:numPr>
          <w:ilvl w:val="0"/>
          <w:numId w:val="1007"/>
        </w:numPr>
        <w:pStyle w:val="Compact"/>
      </w:pPr>
      <w:r>
        <w:t xml:space="preserve">具备较强能量回收的pedal map</w:t>
      </w:r>
    </w:p>
    <w:bookmarkEnd w:id="29"/>
    <w:bookmarkStart w:id="44" w:name="能耗结果"/>
    <w:p>
      <w:pPr>
        <w:pStyle w:val="Heading3"/>
      </w:pPr>
      <w:r>
        <w:t xml:space="preserve">能耗结果</w:t>
      </w:r>
    </w:p>
    <w:p>
      <w:pPr>
        <w:pStyle w:val="FirstParagraph"/>
      </w:pPr>
      <w:r>
        <w:t xml:space="preserve">历次带AI tensorboard</w:t>
      </w:r>
      <w:r>
        <w:t xml:space="preserve"> </w:t>
      </w:r>
      <w:r>
        <w:t xml:space="preserve">- 襄阳vs.上海(解决时间同步问题和漏帧问题)</w:t>
      </w:r>
      <w:r>
        <w:t xml:space="preserve"> </w:t>
      </w:r>
      <w:r>
        <w:t xml:space="preserve">- 确认收敛过程</w:t>
      </w:r>
      <w:r>
        <w:t xml:space="preserve"> </w:t>
      </w:r>
      <w:r>
        <w:t xml:space="preserve">- 能耗持续降低过程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0750"/>
                  <wp:effectExtent b="0" l="0" r="0" t="0"/>
                  <wp:docPr descr="襄阳vs.上海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K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 SAC算法襄阳和上海对比</w:t>
            </w:r>
          </w:p>
        </w:tc>
      </w:tr>
    </w:tbl>
    <w:p>
      <w:pPr>
        <w:numPr>
          <w:ilvl w:val="0"/>
          <w:numId w:val="1008"/>
        </w:numPr>
        <w:pStyle w:val="Compact"/>
      </w:pPr>
      <w:r>
        <w:t xml:space="preserve">上海优化改进过程</w:t>
      </w:r>
    </w:p>
    <w:p>
      <w:pPr>
        <w:numPr>
          <w:ilvl w:val="1"/>
          <w:numId w:val="1009"/>
        </w:numPr>
        <w:pStyle w:val="Compact"/>
      </w:pPr>
      <w:r>
        <w:t xml:space="preserve">能耗持续降低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0750"/>
                  <wp:effectExtent b="0" l="0" r="0" t="0"/>
                  <wp:docPr descr="上海优化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 上海算法改进过程</w:t>
            </w:r>
            <w:r>
              <w:t xml:space="preserve"> </w:t>
            </w:r>
          </w:p>
        </w:tc>
      </w:tr>
    </w:tbl>
    <w:p>
      <w:pPr>
        <w:numPr>
          <w:ilvl w:val="0"/>
          <w:numId w:val="1010"/>
        </w:numPr>
        <w:pStyle w:val="Compact"/>
      </w:pPr>
      <w:r>
        <w:t xml:space="preserve">SAC非持续模式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no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图7.1 SAC非持续模式能耗变化,无coastdown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图7.2 无AI模式能耗变化</w:t>
            </w:r>
          </w:p>
        </w:tc>
      </w:tr>
    </w:tbl>
    <w:p>
      <w:pPr>
        <w:numPr>
          <w:ilvl w:val="0"/>
          <w:numId w:val="1011"/>
        </w:numPr>
        <w:pStyle w:val="Compact"/>
      </w:pPr>
      <w:r>
        <w:t xml:space="preserve">SAC持续模式</w:t>
      </w:r>
    </w:p>
    <w:p>
      <w:pPr>
        <w:numPr>
          <w:ilvl w:val="1"/>
          <w:numId w:val="1012"/>
        </w:numPr>
        <w:pStyle w:val="Compact"/>
      </w:pPr>
      <w:r>
        <w:t xml:space="preserve">趋近稳定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图8.1 SAC持续模式下能耗变化,后面打开coastdown,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图8.2 相同数据加平滑滤波</w:t>
            </w:r>
          </w:p>
        </w:tc>
      </w:tr>
    </w:tbl>
    <w:p>
      <w:pPr>
        <w:numPr>
          <w:ilvl w:val="0"/>
          <w:numId w:val="1013"/>
        </w:numPr>
        <w:pStyle w:val="Compact"/>
      </w:pPr>
      <w:r>
        <w:t xml:space="preserve">SAC 对照组司机</w:t>
      </w:r>
    </w:p>
    <w:p>
      <w:pPr>
        <w:numPr>
          <w:ilvl w:val="1"/>
          <w:numId w:val="1014"/>
        </w:numPr>
        <w:pStyle w:val="Compact"/>
      </w:pPr>
      <w:r>
        <w:t xml:space="preserve">在驾驶风格不变的情况下,加入SAC算法使能耗降低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图9.1 SAC对照组能耗变化,无coastdown,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图9.2 相同数据加平滑滤波</w:t>
            </w:r>
          </w:p>
        </w:tc>
      </w:tr>
    </w:tbl>
    <w:p>
      <w:pPr>
        <w:numPr>
          <w:ilvl w:val="0"/>
          <w:numId w:val="1015"/>
        </w:numPr>
        <w:pStyle w:val="Compact"/>
      </w:pPr>
      <w:r>
        <w:t xml:space="preserve">SAC (未打开Coast Down)</w:t>
      </w:r>
    </w:p>
    <w:p>
      <w:pPr>
        <w:numPr>
          <w:ilvl w:val="1"/>
          <w:numId w:val="1016"/>
        </w:numPr>
        <w:pStyle w:val="Compact"/>
      </w:pPr>
      <w:r>
        <w:t xml:space="preserve">陷于局部最优,变成确定性策略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3122375"/>
                  <wp:effectExtent b="0" l="0" r="0" t="0"/>
                  <wp:docPr descr="上海优化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AC-local-optimu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2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 SAC 陷于确定性策略的局部最优,随机策略的熵收敛到0</w:t>
            </w:r>
          </w:p>
        </w:tc>
      </w:tr>
    </w:tbl>
    <w:p>
      <w:pPr>
        <w:numPr>
          <w:ilvl w:val="0"/>
          <w:numId w:val="1017"/>
        </w:numPr>
        <w:pStyle w:val="Compact"/>
      </w:pPr>
      <w:r>
        <w:t xml:space="preserve">SAC 打开Coast Down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图10.1 SAC打开coastdown,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图10.2 相同数据加平滑滤波</w:t>
            </w:r>
          </w:p>
        </w:tc>
      </w:tr>
    </w:tbl>
    <w:p>
      <w:pPr>
        <w:numPr>
          <w:ilvl w:val="0"/>
          <w:numId w:val="1018"/>
        </w:numPr>
        <w:pStyle w:val="Compact"/>
      </w:pPr>
      <w:r>
        <w:t xml:space="preserve">DDPG 打开Coast Down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ddpg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图11.1 DDPG打开coastdown, 带平滑</w:t>
            </w:r>
          </w:p>
        </w:tc>
        <w:tc>
          <w:p>
            <w:pPr>
              <w:pStyle w:val="Compact"/>
              <w:jc w:val="center"/>
            </w:pPr>
            <w:r>
              <w:t xml:space="preserve">图11.2 对照组司机数据,带平滑</w:t>
            </w:r>
          </w:p>
        </w:tc>
      </w:tr>
    </w:tbl>
    <w:p>
      <w:pPr>
        <w:pStyle w:val="BodyText"/>
      </w:pPr>
      <w:r>
        <w:t xml:space="preserve">DDPG Pedal Map变化表</w:t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veos-report-image/liuddpg_pm_variation_opt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46" w:name="方法"/>
    <w:p>
      <w:pPr>
        <w:pStyle w:val="Heading2"/>
      </w:pPr>
      <w:r>
        <w:t xml:space="preserve">方法</w:t>
      </w:r>
    </w:p>
    <w:p>
      <w:pPr>
        <w:pStyle w:val="FirstParagraph"/>
      </w:pPr>
      <w:r>
        <w:t xml:space="preserve">强化学习方法, 以大数据为基础的奖励驱动优化方法</w:t>
      </w:r>
    </w:p>
    <w:p>
      <w:pPr>
        <w:numPr>
          <w:ilvl w:val="0"/>
          <w:numId w:val="1019"/>
        </w:numPr>
        <w:pStyle w:val="Compact"/>
      </w:pPr>
      <w:r>
        <w:rPr>
          <w:bCs/>
          <w:b/>
        </w:rPr>
        <w:t xml:space="preserve">没有模型</w:t>
      </w:r>
    </w:p>
    <w:p>
      <w:pPr>
        <w:numPr>
          <w:ilvl w:val="1"/>
          <w:numId w:val="1020"/>
        </w:numPr>
        <w:pStyle w:val="Compact"/>
      </w:pPr>
      <w:r>
        <w:t xml:space="preserve">车辆动力学的模型和知识</w:t>
      </w:r>
    </w:p>
    <w:p>
      <w:pPr>
        <w:numPr>
          <w:ilvl w:val="1"/>
          <w:numId w:val="1020"/>
        </w:numPr>
        <w:pStyle w:val="Compact"/>
      </w:pPr>
      <w:r>
        <w:t xml:space="preserve">电机模型</w:t>
      </w:r>
    </w:p>
    <w:p>
      <w:pPr>
        <w:numPr>
          <w:ilvl w:val="1"/>
          <w:numId w:val="1020"/>
        </w:numPr>
        <w:pStyle w:val="Compact"/>
      </w:pPr>
      <w:r>
        <w:t xml:space="preserve">电源管理系统模型</w:t>
      </w:r>
    </w:p>
    <w:p>
      <w:pPr>
        <w:numPr>
          <w:ilvl w:val="0"/>
          <w:numId w:val="1019"/>
        </w:numPr>
        <w:pStyle w:val="Compact"/>
      </w:pPr>
      <w:r>
        <w:t xml:space="preserve">符合学习直觉:</w:t>
      </w:r>
    </w:p>
    <w:p>
      <w:pPr>
        <w:numPr>
          <w:ilvl w:val="1"/>
          <w:numId w:val="1021"/>
        </w:numPr>
        <w:pStyle w:val="Compact"/>
      </w:pPr>
      <w:r>
        <w:t xml:space="preserve">利用大数据建立内部模型</w:t>
      </w:r>
    </w:p>
    <w:p>
      <w:pPr>
        <w:numPr>
          <w:ilvl w:val="1"/>
          <w:numId w:val="1021"/>
        </w:numPr>
        <w:pStyle w:val="Compact"/>
      </w:pPr>
      <w:r>
        <w:t xml:space="preserve">自适应动态过程</w:t>
      </w:r>
    </w:p>
    <w:bookmarkEnd w:id="46"/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38" Target="media/rId38.png" /><Relationship Type="http://schemas.openxmlformats.org/officeDocument/2006/relationships/image" Id="rId31" Target="media/rId31.png" /><Relationship Type="http://schemas.openxmlformats.org/officeDocument/2006/relationships/image" Id="rId21" Target="media/rId21.png" /><Relationship Type="http://schemas.openxmlformats.org/officeDocument/2006/relationships/image" Id="rId42" Target="media/rId42.png" /><Relationship Type="http://schemas.openxmlformats.org/officeDocument/2006/relationships/image" Id="rId28" Target="media/rId28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24" Target="media/rId24.png" /><Relationship Type="http://schemas.openxmlformats.org/officeDocument/2006/relationships/image" Id="rId43" Target="media/rId43.gif" /><Relationship Type="http://schemas.openxmlformats.org/officeDocument/2006/relationships/image" Id="rId20" Target="media/rId20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41" Target="media/rId41.png" /><Relationship Type="http://schemas.openxmlformats.org/officeDocument/2006/relationships/image" Id="rId33" Target="media/rId33.png" /><Relationship Type="http://schemas.openxmlformats.org/officeDocument/2006/relationships/image" Id="rId40" Target="media/rId40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34" Target="media/rId34.png" /><Relationship Type="http://schemas.openxmlformats.org/officeDocument/2006/relationships/image" Id="rId23" Target="media/rId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2021-09-01T09:32:58Z</dcterms:created>
  <dcterms:modified xsi:type="dcterms:W3CDTF">2021-09-01T09:32:58Z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